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490700</wp:posOffset>
                </wp:positionH>
                <wp:positionV relativeFrom="page">
                  <wp:posOffset>716464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標題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国学讲堂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.6pt;margin-top:56.4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標題"/>
                        <w:bidi w:val="0"/>
                      </w:pPr>
                      <w:r>
                        <w:rPr>
                          <w:rtl w:val="0"/>
                        </w:rPr>
                        <w:t>国学讲堂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282D2EF-4C89-48B3-BE70-A34D22DE3DF5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3355" r="0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847FB72B-AD84-4550-A517-96A12F175141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23426" r="0" b="23426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670602A-3539-494D-BB95-3ABA712E5BBF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0969" r="0" b="1096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今天上午</w:t>
      </w:r>
      <w:r>
        <w:rPr>
          <w:rFonts w:ascii="Heiti TC Light" w:hAnsi="Heiti TC Light"/>
          <w:rtl w:val="0"/>
        </w:rPr>
        <w:t>(2017.6.3</w:t>
      </w:r>
      <w:r>
        <w:rPr>
          <w:rtl w:val="0"/>
        </w:rPr>
        <w:t>）是苏州市儒学研究会</w:t>
      </w:r>
      <w:r>
        <w:rPr>
          <w:rFonts w:ascii="Heiti TC Light" w:hAnsi="Heiti TC Light"/>
          <w:rtl w:val="0"/>
        </w:rPr>
        <w:t>2O17</w:t>
      </w:r>
      <w:r>
        <w:rPr>
          <w:rtl w:val="0"/>
        </w:rPr>
        <w:t>年上半年《國学讲堂》最后一期，由职大蔡斌老师主讲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</w:rPr>
        <w:t>尚书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  <w:lang w:val="zh-TW" w:eastAsia="zh-TW"/>
        </w:rPr>
        <w:t>一一《洪範》，洪是大</w:t>
      </w:r>
      <w:r>
        <w:rPr>
          <w:rFonts w:ascii="Heiti TC Light" w:hAnsi="Heiti TC Light"/>
          <w:rtl w:val="0"/>
        </w:rPr>
        <w:t>,</w:t>
      </w:r>
      <w:r>
        <w:rPr>
          <w:rtl w:val="0"/>
        </w:rPr>
        <w:t>範是法。言其为治天下之大法也。清嘉靖七年令顧鼎臣为小皇帝讲《洪範》一书。蔡老师讲课深入浅出，受到好评。</w:t>
      </w:r>
    </w:p>
    <w:p>
      <w:pPr>
        <w:pStyle w:val="標題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>
                              <a:alpha val="9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9.8pt;margin-top:19.8pt;width:555.6pt;height:802.2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0">
                          <w:txbxContent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報告標題</w:t>
                              </w:r>
                            </w:p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0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頁尾"/>
                          <w:bidi w:val="0"/>
                        </w:pPr>
                        <w:r>
                          <w:rPr>
                            <w:rtl w:val="0"/>
                          </w:rPr>
                          <w:t>報告標題</w:t>
                        </w:r>
                      </w:p>
                      <w:p>
                        <w:pPr>
                          <w:pStyle w:val="頁尾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999986</wp:posOffset>
            </wp:positionH>
            <wp:positionV relativeFrom="page">
              <wp:posOffset>5477941</wp:posOffset>
            </wp:positionV>
            <wp:extent cx="6124714" cy="4086556"/>
            <wp:effectExtent l="0" t="0" r="0" b="0"/>
            <wp:wrapThrough wrapText="bothSides" distL="279400" distR="279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D44E2205-B980-4CC3-81C4-2AA9BB5167AF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5518" r="0" b="5518"/>
                    <a:stretch>
                      <a:fillRect/>
                    </a:stretch>
                  </pic:blipFill>
                  <pic:spPr>
                    <a:xfrm>
                      <a:off x="0" y="0"/>
                      <a:ext cx="6124714" cy="4086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9.8pt;margin-top:189.9pt;width:134.3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</w:p>
    <w:p>
      <w:pPr>
        <w:pStyle w:val="副標題"/>
        <w:bidi w:val="0"/>
      </w:pPr>
      <w:r>
        <w:rPr>
          <w:rtl w:val="0"/>
        </w:rPr>
        <w:t>副標題</w:t>
      </w:r>
    </w:p>
    <w:p>
      <w:pPr>
        <w:pStyle w:val="內文"/>
        <w:bidi w:val="0"/>
      </w:pP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今天上午</w:t>
      </w:r>
      <w:r>
        <w:rPr>
          <w:rFonts w:cs="Arial Unicode MS" w:eastAsia="Arial Unicode MS"/>
          <w:rtl w:val="0"/>
        </w:rPr>
        <w:t>(2017.6.3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）是苏州市儒学研究会</w:t>
      </w:r>
      <w:r>
        <w:rPr>
          <w:rFonts w:cs="Arial Unicode MS" w:eastAsia="Arial Unicode MS"/>
          <w:rtl w:val="0"/>
        </w:rPr>
        <w:t>2O17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年上半年《國学讲堂》最后一期，由职大蔡斌老师主讲</w:t>
      </w:r>
      <w:r>
        <w:rPr>
          <w:rFonts w:cs="Arial Unicode MS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尚书</w:t>
      </w:r>
      <w:r>
        <w:rPr>
          <w:rFonts w:cs="Arial Unicode MS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rtl w:val="0"/>
          <w:lang w:val="zh-TW" w:eastAsia="zh-TW"/>
        </w:rPr>
        <w:t>一一《洪範》，洪是大</w:t>
      </w:r>
      <w:r>
        <w:rPr>
          <w:rFonts w:cs="Arial Unicode MS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範是法。言其为治天下之大法也。清嘉靖七年令顧鼎臣为小皇帝讲《洪範》一书。蔡老师讲课深入浅出，受到好评。课堂内老者</w:t>
      </w:r>
      <w:r>
        <w:rPr>
          <w:rFonts w:cs="Arial Unicode MS" w:eastAsia="Arial Unicode MS"/>
          <w:rtl w:val="0"/>
        </w:rPr>
        <w:t>94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岁、小者</w:t>
      </w:r>
      <w:r>
        <w:rPr>
          <w:rFonts w:cs="Arial Unicode MS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岁，儒学传承后继有人。</w:t>
      </w:r>
      <w:r>
        <w:rPr>
          <w:rFonts w:cs="Arial Unicode MS" w:eastAsia="Arial Unicode MS"/>
          <w:rtl w:val="0"/>
        </w:rPr>
        <w:t>2017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年下半年课程表已安排，请大家转告</w:t>
      </w:r>
      <w:r>
        <w:rPr>
          <w:rFonts w:cs="Arial Unicode MS" w:eastAsia="Arial Unicode MS"/>
          <w:rtl w:val="0"/>
        </w:rPr>
        <w:t>9</w:t>
      </w:r>
      <w:r>
        <w:rPr>
          <w:rFonts w:ascii="Arial Unicode MS" w:cs="Arial Unicode MS" w:hAnsi="Arial Unicode MS" w:eastAsia="Arial Unicode MS" w:hint="eastAsia"/>
          <w:rtl w:val="0"/>
        </w:rPr>
        <w:t>月</w:t>
      </w:r>
      <w:r>
        <w:rPr>
          <w:rFonts w:cs="Arial Unicode MS" w:eastAsia="Arial Unicode MS"/>
          <w:rtl w:val="0"/>
        </w:rPr>
        <w:t>9</w:t>
      </w:r>
      <w:r>
        <w:rPr>
          <w:rFonts w:ascii="Arial Unicode MS" w:cs="Arial Unicode MS" w:hAnsi="Arial Unicode MS" w:eastAsia="Arial Unicode MS" w:hint="eastAsia"/>
          <w:rtl w:val="0"/>
          <w:lang w:val="zh-CN" w:eastAsia="zh-CN"/>
        </w:rPr>
        <w:t>日第一期开讲。</w:t>
      </w:r>
    </w:p>
    <w:sectPr>
      <w:pgSz w:w="11900" w:h="16840" w:orient="portrait"/>
      <w:pgMar w:top="964" w:right="680" w:bottom="1786" w:left="36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TC Light">
    <w:charset w:val="00"/>
    <w:family w:val="roman"/>
    <w:pitch w:val="default"/>
  </w:font>
  <w:font w:name="PingFang T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 2">
    <w:name w:val="內文 2"/>
    <w:next w:val="內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大標題">
    <w:name w:val="大標題"/>
    <w:next w:val="大標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標題">
    <w:name w:val="標題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1"/>
    </w:pPr>
    <w:rPr>
      <w:rFonts w:ascii="PingFang TC Semibold" w:cs="PingFang TC Semibold" w:hAnsi="PingFang TC Semibold" w:eastAsia="PingFang T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TC Light" w:cs="Heiti TC Light" w:hAnsi="Heiti TC Light" w:eastAsia="Heiti T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</w:rPr>
  </w:style>
  <w:style w:type="paragraph" w:styleId="副標題">
    <w:name w:val="副標題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  <w:lang w:val="zh-TW" w:eastAsia="zh-TW"/>
    </w:rPr>
  </w:style>
  <w:style w:type="paragraph" w:styleId="頁尾">
    <w:name w:val="頁尾"/>
    <w:next w:val="頁尾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TC">
  <a:themeElements>
    <a:clrScheme name="02_Modern_Report_T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TC">
      <a:majorFont>
        <a:latin typeface="PingFang TC Semibold"/>
        <a:ea typeface="PingFang TC Semibold"/>
        <a:cs typeface="PingFang T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T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